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napToGrid w:val="0"/>
        <w:spacing w:line="240" w:lineRule="auto"/>
        <w:ind w:left="-420" w:leftChars="-200" w:right="-733" w:rightChars="-349" w:firstLine="0" w:firstLineChars="0"/>
        <w:jc w:val="center"/>
        <w:outlineLvl w:val="0"/>
        <w:rPr>
          <w:rFonts w:hAnsi="宋体" w:eastAsia="宋体" w:cs="Arial"/>
          <w:b/>
          <w:w w:val="90"/>
          <w:sz w:val="44"/>
          <w:szCs w:val="44"/>
        </w:rPr>
      </w:pPr>
      <w:r>
        <w:rPr>
          <w:rFonts w:hint="eastAsia" w:hAnsi="宋体"/>
          <w:b/>
          <w:bCs/>
          <w:sz w:val="40"/>
          <w:szCs w:val="40"/>
          <w:lang w:val="en-US" w:eastAsia="zh-CN"/>
        </w:rPr>
        <w:t>龚滩景区配套基础设施建设项目-峡谷乐园及旅游道路建设工程发展规划及概念方案采购公告</w:t>
      </w:r>
    </w:p>
    <w:p>
      <w:pPr>
        <w:widowControl/>
        <w:spacing w:line="480" w:lineRule="exact"/>
        <w:ind w:firstLine="420" w:firstLineChars="200"/>
        <w:jc w:val="center"/>
        <w:rPr>
          <w:rFonts w:hint="eastAsia" w:ascii="宋体"/>
          <w:kern w:val="0"/>
        </w:rPr>
      </w:pPr>
    </w:p>
    <w:p>
      <w:pPr>
        <w:snapToGrid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</w:rPr>
      </w:pPr>
      <w:bookmarkStart w:id="0" w:name="_Toc317775175"/>
      <w:bookmarkStart w:id="1" w:name="_Toc436143932"/>
      <w:bookmarkStart w:id="2" w:name="_Toc409084458"/>
      <w:bookmarkStart w:id="3" w:name="_Toc313893526"/>
      <w:bookmarkStart w:id="4" w:name="_Toc373860293"/>
      <w:bookmarkStart w:id="5" w:name="_Toc317775178"/>
      <w:r>
        <w:rPr>
          <w:rFonts w:hint="eastAsia" w:ascii="宋体" w:hAnsi="宋体" w:eastAsia="宋体" w:cs="宋体"/>
          <w:sz w:val="21"/>
          <w:szCs w:val="21"/>
        </w:rPr>
        <w:t>贵州信和工程招标造价咨询有限公司重庆分公司受</w:t>
      </w:r>
      <w:r>
        <w:rPr>
          <w:rFonts w:hint="eastAsia" w:ascii="宋体" w:hAnsi="宋体" w:cs="宋体"/>
          <w:sz w:val="21"/>
          <w:szCs w:val="21"/>
          <w:lang w:eastAsia="zh-CN"/>
        </w:rPr>
        <w:t>重庆市山水画廊旅游开发有限公司</w:t>
      </w:r>
      <w:r>
        <w:rPr>
          <w:rFonts w:hint="eastAsia" w:ascii="宋体" w:hAnsi="宋体" w:eastAsia="宋体" w:cs="宋体"/>
          <w:sz w:val="21"/>
          <w:szCs w:val="21"/>
        </w:rPr>
        <w:t>委托，对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龚滩景区配套基础设施建设项目-峡谷乐园及旅游道路建设工程</w:t>
      </w:r>
      <w:r>
        <w:rPr>
          <w:rFonts w:hint="eastAsia" w:ascii="宋体" w:hAnsi="宋体" w:cs="宋体"/>
          <w:sz w:val="21"/>
          <w:szCs w:val="21"/>
          <w:lang w:val="en-US" w:eastAsia="zh-CN"/>
        </w:rPr>
        <w:t>发展规划及概念方案采购</w:t>
      </w:r>
      <w:r>
        <w:rPr>
          <w:rFonts w:hint="eastAsia" w:ascii="宋体" w:hAnsi="宋体" w:eastAsia="宋体" w:cs="宋体"/>
          <w:sz w:val="21"/>
          <w:szCs w:val="21"/>
        </w:rPr>
        <w:t>进行竞争性谈判采购。欢迎有资格的供应商前来参加谈判。</w:t>
      </w:r>
    </w:p>
    <w:p>
      <w:pPr>
        <w:pStyle w:val="3"/>
        <w:keepNext/>
        <w:keepLines/>
        <w:pageBreakBefore w:val="0"/>
        <w:widowControl w:val="0"/>
        <w:numPr>
          <w:ilvl w:val="2"/>
          <w:numId w:val="0"/>
        </w:numPr>
        <w:tabs>
          <w:tab w:val="clear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Chars="0" w:right="0" w:rightChars="0"/>
        <w:jc w:val="both"/>
        <w:textAlignment w:val="auto"/>
        <w:outlineLvl w:val="2"/>
        <w:rPr>
          <w:rFonts w:hint="eastAsia" w:ascii="宋体" w:hAnsi="宋体" w:eastAsia="宋体" w:cs="宋体"/>
          <w:sz w:val="24"/>
          <w:szCs w:val="24"/>
        </w:rPr>
      </w:pPr>
      <w:bookmarkStart w:id="6" w:name="_Toc1925"/>
      <w:bookmarkStart w:id="7" w:name="_Toc14312"/>
      <w:bookmarkStart w:id="8" w:name="_Toc24449"/>
      <w:bookmarkStart w:id="9" w:name="_Toc19221"/>
      <w:bookmarkStart w:id="10" w:name="_Toc28754"/>
      <w:bookmarkStart w:id="11" w:name="_Toc12450"/>
      <w:r>
        <w:rPr>
          <w:rFonts w:hint="eastAsia" w:ascii="宋体" w:hAnsi="宋体" w:eastAsia="宋体" w:cs="宋体"/>
          <w:sz w:val="24"/>
          <w:szCs w:val="24"/>
        </w:rPr>
        <w:t>一、竞争性谈判内容</w:t>
      </w:r>
      <w:bookmarkEnd w:id="0"/>
      <w:bookmarkEnd w:id="1"/>
      <w:bookmarkEnd w:id="2"/>
      <w:bookmarkEnd w:id="3"/>
      <w:bookmarkEnd w:id="6"/>
      <w:bookmarkEnd w:id="7"/>
      <w:bookmarkEnd w:id="8"/>
      <w:bookmarkEnd w:id="9"/>
      <w:bookmarkEnd w:id="10"/>
      <w:bookmarkEnd w:id="11"/>
    </w:p>
    <w:tbl>
      <w:tblPr>
        <w:tblStyle w:val="6"/>
        <w:tblpPr w:leftFromText="180" w:rightFromText="180" w:vertAnchor="text" w:horzAnchor="page" w:tblpX="1843" w:tblpY="140"/>
        <w:tblOverlap w:val="never"/>
        <w:tblW w:w="83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2629"/>
        <w:gridCol w:w="1336"/>
        <w:gridCol w:w="1800"/>
        <w:gridCol w:w="17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分包号</w:t>
            </w:r>
          </w:p>
        </w:tc>
        <w:tc>
          <w:tcPr>
            <w:tcW w:w="262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分包名称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采购</w:t>
            </w: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>限价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（万元）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保证金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（万元）</w:t>
            </w: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  <w:t>1</w:t>
            </w:r>
          </w:p>
        </w:tc>
        <w:tc>
          <w:tcPr>
            <w:tcW w:w="262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龚滩景区配套基础设施建设项目-峡谷乐园及旅游道路建设工程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发展规划及概念方案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  <w:t>180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  <w:t>1.0</w:t>
            </w: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 xml:space="preserve">    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方案编制采购</w:t>
            </w:r>
          </w:p>
        </w:tc>
      </w:tr>
    </w:tbl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/>
          <w:kern w:val="0"/>
          <w:sz w:val="24"/>
          <w:szCs w:val="24"/>
          <w:lang w:val="en-US" w:eastAsia="zh-CN" w:bidi="ar-SA"/>
        </w:rPr>
      </w:pPr>
      <w:bookmarkStart w:id="12" w:name="_Toc742"/>
      <w:bookmarkStart w:id="13" w:name="_Toc409084459"/>
      <w:bookmarkStart w:id="14" w:name="_Toc436143933"/>
      <w:bookmarkStart w:id="15" w:name="_Toc21873"/>
      <w:bookmarkStart w:id="16" w:name="_Toc20636"/>
      <w:bookmarkStart w:id="17" w:name="_Toc5937"/>
      <w:bookmarkStart w:id="18" w:name="_Toc31365"/>
      <w:bookmarkStart w:id="19" w:name="_Toc30434"/>
      <w:r>
        <w:rPr>
          <w:rFonts w:hint="eastAsia" w:ascii="宋体" w:hAnsi="宋体" w:cs="宋体"/>
          <w:b/>
          <w:kern w:val="0"/>
          <w:sz w:val="24"/>
          <w:szCs w:val="24"/>
          <w:lang w:val="en-US" w:eastAsia="zh-CN" w:bidi="ar-SA"/>
        </w:rPr>
        <w:t>二、</w:t>
      </w:r>
      <w:r>
        <w:rPr>
          <w:rFonts w:hint="eastAsia" w:ascii="宋体" w:hAnsi="宋体" w:eastAsia="宋体" w:cs="宋体"/>
          <w:b/>
          <w:kern w:val="0"/>
          <w:sz w:val="24"/>
          <w:szCs w:val="24"/>
          <w:lang w:val="en-US" w:eastAsia="zh-CN" w:bidi="ar-SA"/>
        </w:rPr>
        <w:t>资金来源</w:t>
      </w:r>
      <w:bookmarkEnd w:id="12"/>
      <w:bookmarkEnd w:id="13"/>
      <w:bookmarkEnd w:id="14"/>
      <w:bookmarkEnd w:id="15"/>
      <w:bookmarkEnd w:id="16"/>
      <w:bookmarkEnd w:id="17"/>
      <w:bookmarkEnd w:id="18"/>
      <w:bookmarkEnd w:id="19"/>
    </w:p>
    <w:p>
      <w:pPr>
        <w:numPr>
          <w:ilvl w:val="0"/>
          <w:numId w:val="0"/>
        </w:numPr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业</w:t>
      </w:r>
      <w:r>
        <w:rPr>
          <w:rFonts w:hint="eastAsia" w:ascii="宋体" w:hAnsi="宋体" w:eastAsia="宋体" w:cs="宋体"/>
          <w:sz w:val="21"/>
          <w:szCs w:val="21"/>
        </w:rPr>
        <w:t>主自筹。</w:t>
      </w:r>
    </w:p>
    <w:p>
      <w:pPr>
        <w:pStyle w:val="3"/>
        <w:keepNext/>
        <w:keepLines/>
        <w:pageBreakBefore w:val="0"/>
        <w:widowControl w:val="0"/>
        <w:numPr>
          <w:ilvl w:val="2"/>
          <w:numId w:val="0"/>
        </w:numPr>
        <w:tabs>
          <w:tab w:val="clear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Chars="0" w:right="0" w:rightChars="0"/>
        <w:jc w:val="both"/>
        <w:textAlignment w:val="auto"/>
        <w:outlineLvl w:val="2"/>
        <w:rPr>
          <w:rFonts w:hint="eastAsia" w:ascii="宋体" w:hAnsi="宋体" w:eastAsia="宋体" w:cs="宋体"/>
          <w:sz w:val="24"/>
          <w:szCs w:val="24"/>
        </w:rPr>
      </w:pPr>
      <w:bookmarkStart w:id="20" w:name="_Toc23462"/>
      <w:bookmarkStart w:id="21" w:name="_Toc24466"/>
      <w:bookmarkStart w:id="22" w:name="_Toc436143934"/>
      <w:bookmarkStart w:id="23" w:name="_Toc7852"/>
      <w:bookmarkStart w:id="24" w:name="_Toc409084460"/>
      <w:bookmarkStart w:id="25" w:name="_Toc23151"/>
      <w:bookmarkStart w:id="26" w:name="_Toc12737"/>
      <w:bookmarkStart w:id="27" w:name="_Toc7609"/>
      <w:r>
        <w:rPr>
          <w:rFonts w:hint="eastAsia" w:ascii="宋体" w:hAnsi="宋体" w:eastAsia="宋体" w:cs="宋体"/>
          <w:sz w:val="24"/>
          <w:szCs w:val="24"/>
        </w:rPr>
        <w:t>三、谈判资格</w:t>
      </w:r>
      <w:bookmarkEnd w:id="20"/>
      <w:bookmarkEnd w:id="21"/>
      <w:bookmarkEnd w:id="22"/>
      <w:bookmarkEnd w:id="23"/>
      <w:bookmarkEnd w:id="24"/>
      <w:bookmarkEnd w:id="25"/>
      <w:bookmarkEnd w:id="26"/>
      <w:bookmarkEnd w:id="27"/>
    </w:p>
    <w:p>
      <w:pPr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谈判供应商必须符合下列条件：</w:t>
      </w:r>
    </w:p>
    <w:p>
      <w:pPr>
        <w:spacing w:line="360" w:lineRule="auto"/>
        <w:ind w:firstLine="420" w:firstLineChars="200"/>
        <w:rPr>
          <w:rFonts w:hint="eastAsia" w:ascii="宋体" w:hAnsi="宋体" w:eastAsia="宋体" w:cs="宋体"/>
          <w:b w:val="0"/>
          <w:bCs/>
          <w:sz w:val="21"/>
          <w:szCs w:val="21"/>
        </w:rPr>
      </w:pPr>
      <w:bookmarkStart w:id="28" w:name="_Toc22504"/>
      <w:r>
        <w:rPr>
          <w:rFonts w:hint="eastAsia" w:ascii="宋体" w:hAnsi="宋体" w:eastAsia="宋体" w:cs="宋体"/>
          <w:b w:val="0"/>
          <w:bCs/>
          <w:sz w:val="21"/>
          <w:szCs w:val="21"/>
        </w:rPr>
        <w:t>（一）一般资格条件</w:t>
      </w:r>
      <w:bookmarkEnd w:id="28"/>
    </w:p>
    <w:p>
      <w:pPr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1、具有独立承担民事责任的能力；</w:t>
      </w:r>
    </w:p>
    <w:p>
      <w:pPr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2、具有良好的商业信誉和健全的财务会计制度；</w:t>
      </w:r>
    </w:p>
    <w:p>
      <w:pPr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3、具有履行合同所必需的设备和专业技术能力；</w:t>
      </w:r>
    </w:p>
    <w:p>
      <w:pPr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4、有依法缴纳税收和社会保障资金的良好记录；</w:t>
      </w:r>
    </w:p>
    <w:p>
      <w:pPr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5、参加政府采购活动前三年内，在经营活动中没有重大违法记录；</w:t>
      </w:r>
    </w:p>
    <w:p>
      <w:pPr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6、法律、行政法规规定的其他条件。</w:t>
      </w:r>
    </w:p>
    <w:p>
      <w:pPr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bookmarkStart w:id="29" w:name="_Toc8625"/>
      <w:r>
        <w:rPr>
          <w:rFonts w:hint="eastAsia" w:ascii="宋体" w:hAnsi="宋体" w:eastAsia="宋体" w:cs="宋体"/>
          <w:sz w:val="21"/>
          <w:szCs w:val="21"/>
        </w:rPr>
        <w:t>(二)特定资格条件</w:t>
      </w:r>
      <w:bookmarkEnd w:id="29"/>
    </w:p>
    <w:p>
      <w:pPr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供应商应具备国家旅游局颁发的旅游规划设计乙级及以上资质。</w:t>
      </w:r>
    </w:p>
    <w:p>
      <w:pPr>
        <w:pStyle w:val="3"/>
        <w:keepNext/>
        <w:keepLines/>
        <w:pageBreakBefore w:val="0"/>
        <w:widowControl w:val="0"/>
        <w:numPr>
          <w:ilvl w:val="2"/>
          <w:numId w:val="0"/>
        </w:numPr>
        <w:tabs>
          <w:tab w:val="clear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Chars="0" w:right="0" w:rightChars="0"/>
        <w:jc w:val="both"/>
        <w:textAlignment w:val="auto"/>
        <w:outlineLvl w:val="2"/>
        <w:rPr>
          <w:rFonts w:hint="eastAsia" w:ascii="宋体" w:hAnsi="宋体" w:eastAsia="宋体" w:cs="宋体"/>
          <w:sz w:val="24"/>
          <w:szCs w:val="24"/>
        </w:rPr>
      </w:pPr>
      <w:bookmarkStart w:id="30" w:name="_Toc4261"/>
      <w:bookmarkStart w:id="31" w:name="_Toc480887134"/>
      <w:bookmarkStart w:id="32" w:name="_Toc28642"/>
      <w:bookmarkStart w:id="33" w:name="_Toc6922"/>
      <w:bookmarkStart w:id="34" w:name="_Toc18281"/>
      <w:bookmarkStart w:id="35" w:name="_Toc9948"/>
      <w:bookmarkStart w:id="36" w:name="_Toc1822"/>
      <w:r>
        <w:rPr>
          <w:rFonts w:hint="eastAsia" w:ascii="宋体" w:hAnsi="宋体" w:eastAsia="宋体" w:cs="宋体"/>
          <w:sz w:val="24"/>
          <w:szCs w:val="24"/>
        </w:rPr>
        <w:t>四、谈判有关说明</w:t>
      </w:r>
      <w:bookmarkEnd w:id="4"/>
      <w:bookmarkEnd w:id="30"/>
      <w:bookmarkEnd w:id="31"/>
      <w:bookmarkEnd w:id="32"/>
      <w:bookmarkEnd w:id="33"/>
      <w:bookmarkEnd w:id="34"/>
      <w:bookmarkEnd w:id="35"/>
      <w:bookmarkEnd w:id="36"/>
    </w:p>
    <w:p>
      <w:pPr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bookmarkStart w:id="37" w:name="_Toc373860294"/>
      <w:r>
        <w:rPr>
          <w:rFonts w:hint="eastAsia" w:ascii="宋体" w:hAnsi="宋体" w:eastAsia="宋体" w:cs="宋体"/>
          <w:sz w:val="21"/>
          <w:szCs w:val="21"/>
        </w:rPr>
        <w:t>（</w:t>
      </w:r>
      <w:r>
        <w:rPr>
          <w:rFonts w:hint="eastAsia" w:ascii="宋体" w:hAnsi="宋体" w:cs="宋体"/>
          <w:sz w:val="21"/>
          <w:szCs w:val="21"/>
          <w:lang w:val="en-US" w:eastAsia="zh-CN"/>
        </w:rPr>
        <w:t>一</w:t>
      </w:r>
      <w:r>
        <w:rPr>
          <w:rFonts w:hint="eastAsia" w:ascii="宋体" w:hAnsi="宋体" w:eastAsia="宋体" w:cs="宋体"/>
          <w:sz w:val="21"/>
          <w:szCs w:val="21"/>
        </w:rPr>
        <w:t>）凡有意参加谈判的供应商，请于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公告发布之日（</w:t>
      </w:r>
      <w:r>
        <w:rPr>
          <w:rFonts w:hint="eastAsia" w:ascii="宋体" w:hAnsi="宋体" w:eastAsia="宋体" w:cs="宋体"/>
          <w:sz w:val="21"/>
          <w:szCs w:val="21"/>
          <w:highlight w:val="none"/>
          <w:u w:val="single"/>
        </w:rPr>
        <w:t>2017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年</w:t>
      </w:r>
      <w:r>
        <w:rPr>
          <w:rFonts w:hint="eastAsia" w:ascii="宋体" w:hAnsi="宋体" w:eastAsia="宋体" w:cs="宋体"/>
          <w:sz w:val="21"/>
          <w:szCs w:val="21"/>
          <w:highlight w:val="none"/>
          <w:u w:val="single"/>
        </w:rPr>
        <w:t xml:space="preserve"> </w:t>
      </w:r>
      <w:r>
        <w:rPr>
          <w:rFonts w:hint="eastAsia" w:ascii="宋体" w:hAnsi="宋体" w:cs="宋体"/>
          <w:sz w:val="21"/>
          <w:szCs w:val="21"/>
          <w:highlight w:val="none"/>
          <w:u w:val="single"/>
          <w:lang w:val="en-US" w:eastAsia="zh-CN"/>
        </w:rPr>
        <w:t>11</w:t>
      </w:r>
      <w:r>
        <w:rPr>
          <w:rFonts w:hint="eastAsia" w:ascii="宋体" w:hAnsi="宋体" w:eastAsia="宋体" w:cs="宋体"/>
          <w:sz w:val="21"/>
          <w:szCs w:val="21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月</w:t>
      </w:r>
      <w:r>
        <w:rPr>
          <w:rFonts w:hint="eastAsia" w:ascii="宋体" w:hAnsi="宋体" w:eastAsia="宋体" w:cs="宋体"/>
          <w:sz w:val="21"/>
          <w:szCs w:val="21"/>
          <w:highlight w:val="none"/>
          <w:u w:val="single"/>
        </w:rPr>
        <w:t xml:space="preserve"> </w:t>
      </w:r>
      <w:r>
        <w:rPr>
          <w:rFonts w:hint="eastAsia" w:ascii="宋体" w:hAnsi="宋体" w:cs="宋体"/>
          <w:sz w:val="21"/>
          <w:szCs w:val="21"/>
          <w:highlight w:val="none"/>
          <w:u w:val="single"/>
          <w:lang w:val="en-US" w:eastAsia="zh-CN"/>
        </w:rPr>
        <w:t>10</w:t>
      </w:r>
      <w:r>
        <w:rPr>
          <w:rFonts w:hint="eastAsia" w:ascii="宋体" w:hAnsi="宋体" w:eastAsia="宋体" w:cs="宋体"/>
          <w:sz w:val="21"/>
          <w:szCs w:val="21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日）起</w:t>
      </w:r>
      <w:r>
        <w:rPr>
          <w:rFonts w:hint="eastAsia" w:ascii="宋体" w:hAnsi="宋体" w:eastAsia="宋体" w:cs="宋体"/>
          <w:sz w:val="21"/>
          <w:szCs w:val="21"/>
        </w:rPr>
        <w:t>至提交首次响应文件截止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时间之前，在</w:t>
      </w:r>
      <w:r>
        <w:rPr>
          <w:rFonts w:hint="eastAsia" w:ascii="宋体" w:hAnsi="宋体" w:cs="宋体"/>
          <w:color w:val="auto"/>
          <w:sz w:val="21"/>
          <w:szCs w:val="21"/>
          <w:u w:val="single"/>
          <w:lang w:val="en-US" w:eastAsia="zh-CN"/>
        </w:rPr>
        <w:t xml:space="preserve"> 酉阳县桃花源旅游投资（集团）有限公司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网上下</w:t>
      </w:r>
      <w:r>
        <w:rPr>
          <w:rFonts w:hint="eastAsia" w:ascii="宋体" w:hAnsi="宋体" w:eastAsia="宋体" w:cs="宋体"/>
          <w:sz w:val="21"/>
          <w:szCs w:val="21"/>
        </w:rPr>
        <w:t>载本项目谈判文件以及更正补遗等谈判前公布的所有项目资料，无论供应商下载与否，均视为已知晓所有谈判实质性要求内容。</w:t>
      </w:r>
    </w:p>
    <w:p>
      <w:pPr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</w:t>
      </w:r>
      <w:r>
        <w:rPr>
          <w:rFonts w:hint="eastAsia" w:ascii="宋体" w:hAnsi="宋体" w:cs="宋体"/>
          <w:sz w:val="21"/>
          <w:szCs w:val="21"/>
          <w:lang w:val="en-US" w:eastAsia="zh-CN"/>
        </w:rPr>
        <w:t>二</w:t>
      </w:r>
      <w:r>
        <w:rPr>
          <w:rFonts w:hint="eastAsia" w:ascii="宋体" w:hAnsi="宋体" w:eastAsia="宋体" w:cs="宋体"/>
          <w:sz w:val="21"/>
          <w:szCs w:val="21"/>
        </w:rPr>
        <w:t>）报名方式：</w:t>
      </w:r>
      <w:r>
        <w:rPr>
          <w:rFonts w:hint="eastAsia" w:ascii="宋体" w:hAnsi="宋体" w:cs="宋体"/>
          <w:sz w:val="21"/>
          <w:szCs w:val="21"/>
          <w:lang w:val="en-US" w:eastAsia="zh-CN"/>
        </w:rPr>
        <w:t>公告发布次日起5个工作日内，持营业执照（副本）原件到代理机构报名。</w:t>
      </w:r>
    </w:p>
    <w:p>
      <w:pPr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</w:t>
      </w:r>
      <w:r>
        <w:rPr>
          <w:rFonts w:hint="eastAsia" w:ascii="宋体" w:hAnsi="宋体" w:cs="宋体"/>
          <w:sz w:val="21"/>
          <w:szCs w:val="21"/>
          <w:lang w:val="en-US" w:eastAsia="zh-CN"/>
        </w:rPr>
        <w:t>三</w:t>
      </w:r>
      <w:r>
        <w:rPr>
          <w:rFonts w:hint="eastAsia" w:ascii="宋体" w:hAnsi="宋体" w:eastAsia="宋体" w:cs="宋体"/>
          <w:sz w:val="21"/>
          <w:szCs w:val="21"/>
        </w:rPr>
        <w:t>）竞争性谈判文件售价为：</w:t>
      </w:r>
      <w:r>
        <w:rPr>
          <w:rFonts w:hint="eastAsia" w:ascii="宋体" w:hAnsi="宋体" w:cs="宋体"/>
          <w:sz w:val="21"/>
          <w:szCs w:val="21"/>
          <w:lang w:val="en-US" w:eastAsia="zh-CN"/>
        </w:rPr>
        <w:t>7</w:t>
      </w:r>
      <w:r>
        <w:rPr>
          <w:rFonts w:hint="eastAsia" w:ascii="宋体" w:hAnsi="宋体" w:eastAsia="宋体" w:cs="宋体"/>
          <w:sz w:val="21"/>
          <w:szCs w:val="21"/>
        </w:rPr>
        <w:t>00元/份（售后不退），供应商在</w:t>
      </w:r>
      <w:r>
        <w:rPr>
          <w:rFonts w:hint="eastAsia" w:ascii="宋体" w:hAnsi="宋体" w:cs="宋体"/>
          <w:sz w:val="21"/>
          <w:szCs w:val="21"/>
          <w:lang w:val="en-US" w:eastAsia="zh-CN"/>
        </w:rPr>
        <w:t>报名</w:t>
      </w:r>
      <w:r>
        <w:rPr>
          <w:rFonts w:hint="eastAsia" w:ascii="宋体" w:hAnsi="宋体" w:eastAsia="宋体" w:cs="宋体"/>
          <w:sz w:val="21"/>
          <w:szCs w:val="21"/>
        </w:rPr>
        <w:t>时向采购代理机构缴纳。</w:t>
      </w:r>
    </w:p>
    <w:p>
      <w:pPr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</w:t>
      </w:r>
      <w:r>
        <w:rPr>
          <w:rFonts w:hint="eastAsia" w:ascii="宋体" w:hAnsi="宋体" w:cs="宋体"/>
          <w:sz w:val="21"/>
          <w:szCs w:val="21"/>
          <w:lang w:val="en-US" w:eastAsia="zh-CN"/>
        </w:rPr>
        <w:t>四</w:t>
      </w:r>
      <w:r>
        <w:rPr>
          <w:rFonts w:hint="eastAsia" w:ascii="宋体" w:hAnsi="宋体" w:eastAsia="宋体" w:cs="宋体"/>
          <w:sz w:val="21"/>
          <w:szCs w:val="21"/>
        </w:rPr>
        <w:t>）供应商须满足以下两种要件，其响应文件才被接受：</w:t>
      </w:r>
    </w:p>
    <w:p>
      <w:pPr>
        <w:spacing w:line="360" w:lineRule="auto"/>
        <w:ind w:firstLine="630" w:firstLineChars="300"/>
        <w:rPr>
          <w:rFonts w:hint="eastAsia" w:ascii="宋体" w:hAnsi="宋体" w:eastAsia="宋体" w:cs="宋体"/>
          <w:sz w:val="21"/>
          <w:szCs w:val="21"/>
        </w:rPr>
      </w:pPr>
      <w:bookmarkStart w:id="38" w:name="_Toc21290"/>
      <w:r>
        <w:rPr>
          <w:rFonts w:hint="eastAsia" w:ascii="宋体" w:hAnsi="宋体" w:eastAsia="宋体" w:cs="宋体"/>
          <w:sz w:val="21"/>
          <w:szCs w:val="21"/>
        </w:rPr>
        <w:t>1、按时递交了响应文件；</w:t>
      </w:r>
      <w:bookmarkEnd w:id="38"/>
    </w:p>
    <w:p>
      <w:pPr>
        <w:spacing w:line="360" w:lineRule="auto"/>
        <w:ind w:firstLine="630" w:firstLineChars="300"/>
        <w:rPr>
          <w:rFonts w:hint="eastAsia" w:ascii="宋体" w:hAnsi="宋体" w:eastAsia="宋体" w:cs="宋体"/>
          <w:sz w:val="21"/>
          <w:szCs w:val="21"/>
        </w:rPr>
      </w:pPr>
      <w:bookmarkStart w:id="39" w:name="_Toc27642"/>
      <w:r>
        <w:rPr>
          <w:rFonts w:hint="eastAsia" w:ascii="宋体" w:hAnsi="宋体" w:eastAsia="宋体" w:cs="宋体"/>
          <w:sz w:val="21"/>
          <w:szCs w:val="21"/>
        </w:rPr>
        <w:t>2、按时报名签到。</w:t>
      </w:r>
      <w:bookmarkEnd w:id="39"/>
    </w:p>
    <w:p>
      <w:pPr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</w:t>
      </w:r>
      <w:r>
        <w:rPr>
          <w:rFonts w:hint="eastAsia" w:ascii="宋体" w:hAnsi="宋体" w:cs="宋体"/>
          <w:sz w:val="21"/>
          <w:szCs w:val="21"/>
          <w:lang w:val="en-US" w:eastAsia="zh-CN"/>
        </w:rPr>
        <w:t>五</w:t>
      </w:r>
      <w:r>
        <w:rPr>
          <w:rFonts w:hint="eastAsia" w:ascii="宋体" w:hAnsi="宋体" w:eastAsia="宋体" w:cs="宋体"/>
          <w:sz w:val="21"/>
          <w:szCs w:val="21"/>
        </w:rPr>
        <w:t>）谈判地点：</w:t>
      </w:r>
      <w:r>
        <w:rPr>
          <w:rFonts w:hint="eastAsia" w:ascii="宋体" w:hAnsi="宋体" w:cs="宋体"/>
          <w:sz w:val="21"/>
          <w:szCs w:val="21"/>
          <w:u w:val="single"/>
          <w:lang w:val="en-US" w:eastAsia="zh-CN"/>
        </w:rPr>
        <w:t>重庆市酉阳县公共资源交易中心</w:t>
      </w:r>
      <w:r>
        <w:rPr>
          <w:rFonts w:hint="eastAsia" w:ascii="宋体" w:hAnsi="宋体" w:eastAsia="宋体" w:cs="宋体"/>
          <w:sz w:val="21"/>
          <w:szCs w:val="21"/>
        </w:rPr>
        <w:t>。</w:t>
      </w:r>
    </w:p>
    <w:p>
      <w:pPr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  <w:u w:val="none"/>
        </w:rPr>
      </w:pPr>
      <w:r>
        <w:rPr>
          <w:rFonts w:hint="eastAsia" w:ascii="宋体" w:hAnsi="宋体" w:eastAsia="宋体" w:cs="宋体"/>
          <w:sz w:val="21"/>
          <w:szCs w:val="21"/>
        </w:rPr>
        <w:t>（</w:t>
      </w:r>
      <w:r>
        <w:rPr>
          <w:rFonts w:hint="eastAsia" w:ascii="宋体" w:hAnsi="宋体" w:cs="宋体"/>
          <w:sz w:val="21"/>
          <w:szCs w:val="21"/>
          <w:lang w:val="en-US" w:eastAsia="zh-CN"/>
        </w:rPr>
        <w:t>六</w:t>
      </w:r>
      <w:r>
        <w:rPr>
          <w:rFonts w:hint="eastAsia" w:ascii="宋体" w:hAnsi="宋体" w:eastAsia="宋体" w:cs="宋体"/>
          <w:sz w:val="21"/>
          <w:szCs w:val="21"/>
        </w:rPr>
        <w:t>）提交响应文件时间：</w:t>
      </w:r>
      <w:r>
        <w:rPr>
          <w:rFonts w:hint="eastAsia" w:ascii="宋体" w:hAnsi="宋体" w:eastAsia="宋体" w:cs="宋体"/>
          <w:sz w:val="21"/>
          <w:szCs w:val="21"/>
          <w:u w:val="none"/>
        </w:rPr>
        <w:t>2017年</w:t>
      </w:r>
      <w:r>
        <w:rPr>
          <w:rFonts w:hint="eastAsia" w:ascii="宋体" w:hAnsi="宋体" w:cs="宋体"/>
          <w:sz w:val="21"/>
          <w:szCs w:val="21"/>
          <w:u w:val="none"/>
          <w:lang w:val="en-US" w:eastAsia="zh-CN"/>
        </w:rPr>
        <w:t>12</w:t>
      </w:r>
      <w:r>
        <w:rPr>
          <w:rFonts w:hint="eastAsia" w:ascii="宋体" w:hAnsi="宋体" w:eastAsia="宋体" w:cs="宋体"/>
          <w:sz w:val="21"/>
          <w:szCs w:val="21"/>
          <w:u w:val="none"/>
        </w:rPr>
        <w:t>月</w:t>
      </w:r>
      <w:r>
        <w:rPr>
          <w:rFonts w:hint="eastAsia" w:ascii="宋体" w:hAnsi="宋体" w:cs="宋体"/>
          <w:sz w:val="21"/>
          <w:szCs w:val="21"/>
          <w:u w:val="none"/>
          <w:lang w:val="en-US" w:eastAsia="zh-CN"/>
        </w:rPr>
        <w:t>11</w:t>
      </w:r>
      <w:r>
        <w:rPr>
          <w:rFonts w:hint="eastAsia" w:ascii="宋体" w:hAnsi="宋体" w:eastAsia="宋体" w:cs="宋体"/>
          <w:sz w:val="21"/>
          <w:szCs w:val="21"/>
          <w:u w:val="none"/>
        </w:rPr>
        <w:t>日</w:t>
      </w:r>
      <w:r>
        <w:rPr>
          <w:rFonts w:hint="eastAsia" w:ascii="宋体" w:hAnsi="宋体" w:cs="宋体"/>
          <w:sz w:val="21"/>
          <w:szCs w:val="21"/>
          <w:u w:val="none"/>
          <w:lang w:val="en-US" w:eastAsia="zh-CN"/>
        </w:rPr>
        <w:t xml:space="preserve">13：30分 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—</w:t>
      </w:r>
      <w:r>
        <w:rPr>
          <w:rFonts w:hint="eastAsia" w:ascii="宋体" w:hAnsi="宋体" w:cs="宋体"/>
          <w:sz w:val="21"/>
          <w:szCs w:val="21"/>
          <w:u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  <w:u w:val="none"/>
        </w:rPr>
        <w:t>2017年</w:t>
      </w:r>
      <w:r>
        <w:rPr>
          <w:rFonts w:hint="eastAsia" w:ascii="宋体" w:hAnsi="宋体" w:cs="宋体"/>
          <w:sz w:val="21"/>
          <w:szCs w:val="21"/>
          <w:u w:val="none"/>
          <w:lang w:val="en-US" w:eastAsia="zh-CN"/>
        </w:rPr>
        <w:t>12</w:t>
      </w:r>
      <w:r>
        <w:rPr>
          <w:rFonts w:hint="eastAsia" w:ascii="宋体" w:hAnsi="宋体" w:eastAsia="宋体" w:cs="宋体"/>
          <w:sz w:val="21"/>
          <w:szCs w:val="21"/>
          <w:u w:val="none"/>
        </w:rPr>
        <w:t>月</w:t>
      </w:r>
      <w:r>
        <w:rPr>
          <w:rFonts w:hint="eastAsia" w:ascii="宋体" w:hAnsi="宋体" w:cs="宋体"/>
          <w:sz w:val="21"/>
          <w:szCs w:val="21"/>
          <w:u w:val="none"/>
          <w:lang w:val="en-US" w:eastAsia="zh-CN"/>
        </w:rPr>
        <w:t>11</w:t>
      </w:r>
      <w:r>
        <w:rPr>
          <w:rFonts w:hint="eastAsia" w:ascii="宋体" w:hAnsi="宋体" w:eastAsia="宋体" w:cs="宋体"/>
          <w:sz w:val="21"/>
          <w:szCs w:val="21"/>
          <w:u w:val="none"/>
        </w:rPr>
        <w:t>日</w:t>
      </w:r>
      <w:r>
        <w:rPr>
          <w:rFonts w:hint="eastAsia" w:ascii="宋体" w:hAnsi="宋体" w:cs="宋体"/>
          <w:sz w:val="21"/>
          <w:szCs w:val="21"/>
          <w:u w:val="none"/>
          <w:lang w:val="en-US" w:eastAsia="zh-CN"/>
        </w:rPr>
        <w:t xml:space="preserve"> 14:00 分。</w:t>
      </w:r>
    </w:p>
    <w:p>
      <w:pPr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  <w:u w:val="none"/>
        </w:rPr>
      </w:pPr>
      <w:r>
        <w:rPr>
          <w:rFonts w:hint="eastAsia" w:ascii="宋体" w:hAnsi="宋体" w:eastAsia="宋体" w:cs="宋体"/>
          <w:sz w:val="21"/>
          <w:szCs w:val="21"/>
        </w:rPr>
        <w:t>（</w:t>
      </w:r>
      <w:r>
        <w:rPr>
          <w:rFonts w:hint="eastAsia" w:ascii="宋体" w:hAnsi="宋体" w:cs="宋体"/>
          <w:sz w:val="21"/>
          <w:szCs w:val="21"/>
          <w:lang w:val="en-US" w:eastAsia="zh-CN"/>
        </w:rPr>
        <w:t>七</w:t>
      </w:r>
      <w:r>
        <w:rPr>
          <w:rFonts w:hint="eastAsia" w:ascii="宋体" w:hAnsi="宋体" w:eastAsia="宋体" w:cs="宋体"/>
          <w:sz w:val="21"/>
          <w:szCs w:val="21"/>
        </w:rPr>
        <w:t>）谈判开始时间：2017年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</w:t>
      </w:r>
      <w:r>
        <w:rPr>
          <w:rFonts w:hint="eastAsia" w:ascii="宋体" w:hAnsi="宋体" w:cs="宋体"/>
          <w:sz w:val="21"/>
          <w:szCs w:val="21"/>
          <w:u w:val="single"/>
          <w:lang w:val="en-US" w:eastAsia="zh-CN"/>
        </w:rPr>
        <w:t>12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</w:rPr>
        <w:t>月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</w:t>
      </w:r>
      <w:r>
        <w:rPr>
          <w:rFonts w:hint="eastAsia" w:ascii="宋体" w:hAnsi="宋体" w:cs="宋体"/>
          <w:sz w:val="21"/>
          <w:szCs w:val="21"/>
          <w:u w:val="single"/>
          <w:lang w:val="en-US" w:eastAsia="zh-CN"/>
        </w:rPr>
        <w:t>11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</w:rPr>
        <w:t xml:space="preserve"> 日北京时间</w:t>
      </w:r>
      <w:r>
        <w:rPr>
          <w:rFonts w:hint="eastAsia" w:ascii="宋体" w:hAnsi="宋体" w:cs="宋体"/>
          <w:sz w:val="21"/>
          <w:szCs w:val="21"/>
          <w:u w:val="single"/>
          <w:lang w:val="en-US" w:eastAsia="zh-CN"/>
        </w:rPr>
        <w:t xml:space="preserve"> 14：00 </w:t>
      </w:r>
      <w:r>
        <w:rPr>
          <w:rFonts w:hint="eastAsia" w:ascii="宋体" w:hAnsi="宋体" w:cs="宋体"/>
          <w:sz w:val="21"/>
          <w:szCs w:val="21"/>
          <w:u w:val="none"/>
          <w:lang w:val="en-US" w:eastAsia="zh-CN"/>
        </w:rPr>
        <w:t>分</w:t>
      </w:r>
      <w:r>
        <w:rPr>
          <w:rFonts w:hint="eastAsia" w:ascii="宋体" w:hAnsi="宋体" w:eastAsia="宋体" w:cs="宋体"/>
          <w:sz w:val="21"/>
          <w:szCs w:val="21"/>
          <w:u w:val="none"/>
        </w:rPr>
        <w:t>。</w:t>
      </w:r>
    </w:p>
    <w:p>
      <w:pPr>
        <w:pStyle w:val="3"/>
        <w:keepNext/>
        <w:keepLines/>
        <w:pageBreakBefore w:val="0"/>
        <w:widowControl w:val="0"/>
        <w:numPr>
          <w:ilvl w:val="2"/>
          <w:numId w:val="0"/>
        </w:numPr>
        <w:tabs>
          <w:tab w:val="clear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Chars="0" w:right="0" w:rightChars="0"/>
        <w:jc w:val="both"/>
        <w:textAlignment w:val="auto"/>
        <w:outlineLvl w:val="2"/>
        <w:rPr>
          <w:rFonts w:hint="eastAsia" w:ascii="宋体" w:hAnsi="宋体" w:eastAsia="宋体" w:cs="宋体"/>
          <w:sz w:val="24"/>
          <w:szCs w:val="24"/>
        </w:rPr>
      </w:pPr>
      <w:bookmarkStart w:id="40" w:name="_Toc5340"/>
      <w:bookmarkStart w:id="41" w:name="_Toc13109"/>
      <w:bookmarkStart w:id="42" w:name="_Toc28123"/>
      <w:bookmarkStart w:id="43" w:name="_Toc480887135"/>
      <w:bookmarkStart w:id="44" w:name="_Toc19212"/>
      <w:bookmarkStart w:id="45" w:name="_Toc4809"/>
      <w:bookmarkStart w:id="46" w:name="_Toc13656"/>
      <w:r>
        <w:rPr>
          <w:rFonts w:hint="eastAsia" w:ascii="宋体" w:hAnsi="宋体" w:eastAsia="宋体" w:cs="宋体"/>
          <w:sz w:val="24"/>
          <w:szCs w:val="24"/>
        </w:rPr>
        <w:t>五、保证金</w:t>
      </w:r>
      <w:bookmarkEnd w:id="37"/>
      <w:bookmarkEnd w:id="40"/>
      <w:bookmarkEnd w:id="41"/>
      <w:bookmarkEnd w:id="42"/>
      <w:bookmarkEnd w:id="43"/>
      <w:bookmarkEnd w:id="44"/>
      <w:bookmarkEnd w:id="45"/>
      <w:bookmarkEnd w:id="46"/>
    </w:p>
    <w:p>
      <w:pPr>
        <w:spacing w:line="360" w:lineRule="auto"/>
        <w:ind w:firstLine="420" w:firstLineChars="200"/>
        <w:rPr>
          <w:rFonts w:hint="eastAsia" w:ascii="宋体" w:hAnsi="宋体" w:cs="宋体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cs="宋体"/>
          <w:sz w:val="21"/>
          <w:szCs w:val="21"/>
          <w:u w:val="none"/>
          <w:lang w:val="en-US" w:eastAsia="zh-CN"/>
        </w:rPr>
        <w:t>10000元。按“第二章 供应商须知”的规定缴纳。</w:t>
      </w:r>
    </w:p>
    <w:p>
      <w:pPr>
        <w:pStyle w:val="3"/>
        <w:keepNext/>
        <w:keepLines/>
        <w:pageBreakBefore w:val="0"/>
        <w:widowControl w:val="0"/>
        <w:numPr>
          <w:ilvl w:val="2"/>
          <w:numId w:val="0"/>
        </w:numPr>
        <w:tabs>
          <w:tab w:val="clear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Chars="0" w:right="0" w:rightChars="0"/>
        <w:jc w:val="both"/>
        <w:textAlignment w:val="auto"/>
        <w:outlineLvl w:val="2"/>
        <w:rPr>
          <w:rFonts w:hint="eastAsia" w:ascii="宋体" w:hAnsi="宋体" w:eastAsia="宋体" w:cs="宋体"/>
          <w:sz w:val="24"/>
          <w:szCs w:val="24"/>
        </w:rPr>
      </w:pPr>
      <w:bookmarkStart w:id="47" w:name="_Toc480887136"/>
      <w:bookmarkStart w:id="48" w:name="_Toc16819"/>
      <w:bookmarkStart w:id="49" w:name="_Toc5003"/>
      <w:bookmarkStart w:id="50" w:name="_Toc16402"/>
      <w:bookmarkStart w:id="51" w:name="_Toc23127"/>
      <w:bookmarkStart w:id="52" w:name="_Toc519"/>
      <w:bookmarkStart w:id="53" w:name="_Toc29660"/>
      <w:r>
        <w:rPr>
          <w:rFonts w:hint="eastAsia" w:ascii="宋体" w:hAnsi="宋体" w:eastAsia="宋体" w:cs="宋体"/>
          <w:sz w:val="24"/>
          <w:szCs w:val="24"/>
        </w:rPr>
        <w:t>六、</w:t>
      </w:r>
      <w:bookmarkEnd w:id="5"/>
      <w:r>
        <w:rPr>
          <w:rFonts w:hint="eastAsia" w:ascii="宋体" w:hAnsi="宋体" w:eastAsia="宋体" w:cs="宋体"/>
          <w:sz w:val="24"/>
          <w:szCs w:val="24"/>
        </w:rPr>
        <w:t>其它有关规定</w:t>
      </w:r>
      <w:bookmarkEnd w:id="47"/>
      <w:bookmarkEnd w:id="48"/>
      <w:bookmarkEnd w:id="49"/>
      <w:bookmarkEnd w:id="50"/>
      <w:bookmarkEnd w:id="51"/>
      <w:bookmarkEnd w:id="52"/>
      <w:bookmarkEnd w:id="53"/>
    </w:p>
    <w:p>
      <w:pPr>
        <w:snapToGrid w:val="0"/>
        <w:spacing w:line="360" w:lineRule="auto"/>
        <w:ind w:firstLine="315" w:firstLineChars="15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（一）单位负责人为同一人或者存在直接控股、管理关系的不同供应商，不得参加同一合同项下的采购活动，否则均为无效谈判。</w:t>
      </w:r>
    </w:p>
    <w:p>
      <w:pPr>
        <w:snapToGrid w:val="0"/>
        <w:spacing w:line="360" w:lineRule="auto"/>
        <w:ind w:firstLine="315" w:firstLineChars="150"/>
        <w:rPr>
          <w:rFonts w:hint="eastAsia" w:ascii="宋体" w:hAnsi="宋体" w:eastAsia="宋体" w:cs="宋体"/>
          <w:sz w:val="21"/>
          <w:szCs w:val="21"/>
          <w:highlight w:val="yellow"/>
        </w:rPr>
      </w:pPr>
      <w:r>
        <w:rPr>
          <w:rFonts w:hint="eastAsia" w:ascii="宋体" w:hAnsi="宋体" w:eastAsia="宋体" w:cs="宋体"/>
          <w:sz w:val="21"/>
          <w:szCs w:val="21"/>
        </w:rPr>
        <w:t>（二）超过响应文件递交截止时间递交的响应文件，恕不接收。</w:t>
      </w:r>
    </w:p>
    <w:p>
      <w:pPr>
        <w:pStyle w:val="3"/>
        <w:keepNext/>
        <w:keepLines/>
        <w:pageBreakBefore w:val="0"/>
        <w:widowControl w:val="0"/>
        <w:numPr>
          <w:ilvl w:val="2"/>
          <w:numId w:val="0"/>
        </w:numPr>
        <w:tabs>
          <w:tab w:val="clear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Chars="0" w:right="0" w:rightChars="0"/>
        <w:jc w:val="both"/>
        <w:textAlignment w:val="auto"/>
        <w:outlineLvl w:val="2"/>
        <w:rPr>
          <w:rFonts w:hint="eastAsia" w:ascii="宋体" w:hAnsi="宋体" w:eastAsia="宋体" w:cs="宋体"/>
          <w:sz w:val="24"/>
          <w:szCs w:val="24"/>
          <w:highlight w:val="none"/>
        </w:rPr>
      </w:pPr>
      <w:bookmarkStart w:id="54" w:name="_Toc480887137"/>
      <w:bookmarkStart w:id="55" w:name="_Toc11191"/>
      <w:bookmarkStart w:id="56" w:name="_Toc31776"/>
      <w:bookmarkStart w:id="57" w:name="_Toc32588"/>
      <w:bookmarkStart w:id="58" w:name="_Toc25871"/>
      <w:bookmarkStart w:id="59" w:name="_Toc109"/>
      <w:bookmarkStart w:id="60" w:name="_Toc9434"/>
      <w:r>
        <w:rPr>
          <w:rFonts w:hint="eastAsia" w:ascii="宋体" w:hAnsi="宋体" w:eastAsia="宋体" w:cs="宋体"/>
          <w:sz w:val="24"/>
          <w:szCs w:val="24"/>
          <w:highlight w:val="none"/>
        </w:rPr>
        <w:t>七、联系方式</w:t>
      </w:r>
      <w:bookmarkEnd w:id="54"/>
      <w:bookmarkEnd w:id="55"/>
      <w:bookmarkEnd w:id="56"/>
      <w:bookmarkEnd w:id="57"/>
      <w:bookmarkEnd w:id="58"/>
      <w:bookmarkEnd w:id="59"/>
      <w:bookmarkEnd w:id="60"/>
    </w:p>
    <w:p>
      <w:pPr>
        <w:spacing w:line="360" w:lineRule="auto"/>
        <w:ind w:firstLine="420" w:firstLineChars="200"/>
        <w:rPr>
          <w:rFonts w:hint="eastAsia" w:ascii="宋体" w:hAnsi="宋体" w:eastAsia="宋体" w:cs="宋体"/>
          <w:kern w:val="0"/>
          <w:sz w:val="21"/>
          <w:szCs w:val="21"/>
        </w:rPr>
      </w:pPr>
      <w:bookmarkStart w:id="61" w:name="_Toc372"/>
      <w:r>
        <w:rPr>
          <w:rFonts w:hint="eastAsia" w:ascii="宋体" w:hAnsi="宋体" w:eastAsia="宋体" w:cs="宋体"/>
          <w:kern w:val="0"/>
          <w:sz w:val="21"/>
          <w:szCs w:val="21"/>
        </w:rPr>
        <w:t>（一）采购人：</w:t>
      </w:r>
      <w:r>
        <w:rPr>
          <w:rFonts w:hint="eastAsia" w:ascii="宋体" w:hAnsi="宋体" w:cs="宋体"/>
          <w:sz w:val="21"/>
          <w:szCs w:val="21"/>
          <w:lang w:eastAsia="zh-CN"/>
        </w:rPr>
        <w:t>重庆市山水画廊旅游开发有限公司</w:t>
      </w:r>
      <w:bookmarkEnd w:id="61"/>
    </w:p>
    <w:p>
      <w:pPr>
        <w:snapToGrid w:val="0"/>
        <w:spacing w:line="360" w:lineRule="auto"/>
        <w:ind w:firstLine="1050" w:firstLineChars="500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联系人： 胡老师</w:t>
      </w:r>
    </w:p>
    <w:p>
      <w:pPr>
        <w:snapToGrid w:val="0"/>
        <w:spacing w:line="360" w:lineRule="auto"/>
        <w:ind w:firstLine="1050" w:firstLineChars="500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电  话：</w:t>
      </w:r>
      <w:r>
        <w:rPr>
          <w:rFonts w:hint="eastAsia" w:ascii="宋体" w:hAnsi="宋体" w:eastAsia="宋体" w:cs="宋体"/>
          <w:sz w:val="21"/>
          <w:szCs w:val="21"/>
        </w:rPr>
        <w:t>18083098821</w:t>
      </w:r>
    </w:p>
    <w:p>
      <w:pPr>
        <w:spacing w:line="360" w:lineRule="auto"/>
        <w:ind w:firstLine="1050" w:firstLineChars="500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地  址：</w:t>
      </w:r>
      <w:r>
        <w:rPr>
          <w:rFonts w:hint="eastAsia" w:ascii="宋体" w:hAnsi="宋体" w:eastAsia="宋体" w:cs="宋体"/>
          <w:kern w:val="0"/>
          <w:sz w:val="21"/>
          <w:szCs w:val="21"/>
          <w:lang w:eastAsia="zh-CN"/>
        </w:rPr>
        <w:t>重庆市酉阳县龚滩景区北门艺术广场</w:t>
      </w:r>
    </w:p>
    <w:p>
      <w:pPr>
        <w:spacing w:line="360" w:lineRule="auto"/>
        <w:ind w:firstLine="420"/>
        <w:rPr>
          <w:rFonts w:hint="eastAsia" w:ascii="宋体" w:hAnsi="宋体" w:eastAsia="宋体" w:cs="宋体"/>
          <w:kern w:val="0"/>
          <w:sz w:val="21"/>
          <w:szCs w:val="21"/>
        </w:rPr>
      </w:pPr>
      <w:bookmarkStart w:id="62" w:name="_Toc24561"/>
      <w:r>
        <w:rPr>
          <w:rFonts w:hint="eastAsia" w:ascii="宋体" w:hAnsi="宋体" w:eastAsia="宋体" w:cs="宋体"/>
          <w:kern w:val="0"/>
          <w:sz w:val="21"/>
          <w:szCs w:val="21"/>
        </w:rPr>
        <w:t>（二）采购代理机构：贵州信和工程招标造价咨询有限公司重庆分公司</w:t>
      </w:r>
      <w:bookmarkEnd w:id="62"/>
    </w:p>
    <w:p>
      <w:pPr>
        <w:snapToGrid w:val="0"/>
        <w:spacing w:line="360" w:lineRule="auto"/>
        <w:ind w:firstLine="1050" w:firstLineChars="500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联系人：刘老师</w:t>
      </w:r>
    </w:p>
    <w:p>
      <w:pPr>
        <w:spacing w:line="360" w:lineRule="auto"/>
        <w:ind w:firstLine="1050" w:firstLineChars="500"/>
        <w:rPr>
          <w:rFonts w:hint="eastAsia" w:ascii="宋体" w:hAnsi="宋体" w:cs="宋体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 xml:space="preserve">电  话：023-63890859   </w:t>
      </w:r>
      <w:r>
        <w:rPr>
          <w:rFonts w:hint="eastAsia" w:ascii="宋体" w:hAnsi="宋体" w:cs="宋体"/>
          <w:kern w:val="0"/>
          <w:sz w:val="21"/>
          <w:szCs w:val="21"/>
          <w:lang w:val="en-US" w:eastAsia="zh-CN"/>
        </w:rPr>
        <w:t>15683057377</w:t>
      </w:r>
      <w:bookmarkStart w:id="63" w:name="_GoBack"/>
      <w:bookmarkEnd w:id="63"/>
    </w:p>
    <w:p>
      <w:pPr>
        <w:spacing w:line="360" w:lineRule="auto"/>
        <w:ind w:firstLine="1050" w:firstLineChars="500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地  址：重庆市渝中区大坪正街118号 3栋18-8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crosoft YaHei UI">
    <w:panose1 w:val="020B0503020204020204"/>
    <w:charset w:val="86"/>
    <w:family w:val="swiss"/>
    <w:pitch w:val="default"/>
    <w:sig w:usb0="80000287" w:usb1="28CF3C50" w:usb2="00000016" w:usb3="00000000" w:csb0="0004001F" w:csb1="0000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文鼎粗黑">
    <w:altName w:val="新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昆仑楷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hruti">
    <w:altName w:val="Segoe UI Symbol"/>
    <w:panose1 w:val="020B0502040204020203"/>
    <w:charset w:val="00"/>
    <w:family w:val="auto"/>
    <w:pitch w:val="default"/>
    <w:sig w:usb0="00000000" w:usb1="00000000" w:usb2="00000000" w:usb3="00000000" w:csb0="000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Segoe UI Symbol">
    <w:panose1 w:val="020B0502040204020203"/>
    <w:charset w:val="00"/>
    <w:family w:val="auto"/>
    <w:pitch w:val="default"/>
    <w:sig w:usb0="800001E3" w:usb1="1200FFEF" w:usb2="00040000" w:usb3="04000000" w:csb0="00000001" w:csb1="4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font-weight : 400">
    <w:altName w:val="Arial Unicode MS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仿宋简体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MingLiU">
    <w:altName w:val="PMingLiU-ExtB"/>
    <w:panose1 w:val="02020509000000000000"/>
    <w:charset w:val="88"/>
    <w:family w:val="auto"/>
    <w:pitch w:val="default"/>
    <w:sig w:usb0="00000000" w:usb1="00000000" w:usb2="00000016" w:usb3="00000000" w:csb0="0010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itka Text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AmdtSymbols">
    <w:altName w:val="Sitka Text"/>
    <w:panose1 w:val="02000500000000020004"/>
    <w:charset w:val="00"/>
    <w:family w:val="auto"/>
    <w:pitch w:val="default"/>
    <w:sig w:usb0="00000000" w:usb1="00000000" w:usb2="00000000" w:usb3="00000000" w:csb0="00000001" w:csb1="00000000"/>
  </w:font>
  <w:font w:name="_x000B__x000C_">
    <w:altName w:val="Arial Unicode MS"/>
    <w:panose1 w:val="00000000000000000000"/>
    <w:charset w:val="01"/>
    <w:family w:val="roman"/>
    <w:pitch w:val="default"/>
    <w:sig w:usb0="00000000" w:usb1="00000000" w:usb2="00000000" w:usb3="00000000" w:csb0="0004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A591B"/>
    <w:multiLevelType w:val="multilevel"/>
    <w:tmpl w:val="110A591B"/>
    <w:lvl w:ilvl="0" w:tentative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2"/>
      <w:lvlText w:val="%1.%2"/>
      <w:lvlJc w:val="left"/>
      <w:pPr>
        <w:tabs>
          <w:tab w:val="left" w:pos="576"/>
        </w:tabs>
        <w:ind w:left="576" w:hanging="576"/>
      </w:pPr>
      <w:rPr>
        <w:rFonts w:hint="eastAsia"/>
      </w:rPr>
    </w:lvl>
    <w:lvl w:ilvl="2" w:tentative="0">
      <w:start w:val="1"/>
      <w:numFmt w:val="decimal"/>
      <w:pStyle w:val="3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 w:tentative="0">
      <w:start w:val="1"/>
      <w:numFmt w:val="decimal"/>
      <w:lvlText w:val="6.2.%4"/>
      <w:lvlJc w:val="left"/>
      <w:pPr>
        <w:tabs>
          <w:tab w:val="left" w:pos="1080"/>
        </w:tabs>
        <w:ind w:left="864" w:hanging="864"/>
      </w:pPr>
      <w:rPr>
        <w:rFonts w:hint="eastAsia" w:ascii="华文细黑" w:hAnsi="华文细黑" w:eastAsia="华文细黑"/>
      </w:r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8904A6"/>
    <w:rsid w:val="2EFE3700"/>
    <w:rsid w:val="668904A6"/>
    <w:rsid w:val="76F42169"/>
    <w:rsid w:val="77453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widowControl/>
      <w:numPr>
        <w:ilvl w:val="1"/>
        <w:numId w:val="1"/>
      </w:numPr>
      <w:spacing w:before="240" w:after="60"/>
      <w:jc w:val="left"/>
      <w:outlineLvl w:val="1"/>
    </w:pPr>
    <w:rPr>
      <w:rFonts w:ascii="Arial" w:hAnsi="Arial" w:eastAsia="华文宋体"/>
      <w:b/>
      <w:i/>
      <w:kern w:val="0"/>
      <w:sz w:val="28"/>
      <w:szCs w:val="20"/>
    </w:rPr>
  </w:style>
  <w:style w:type="paragraph" w:styleId="3">
    <w:name w:val="heading 3"/>
    <w:basedOn w:val="1"/>
    <w:next w:val="1"/>
    <w:unhideWhenUsed/>
    <w:qFormat/>
    <w:uiPriority w:val="0"/>
    <w:pPr>
      <w:keepNext/>
      <w:widowControl/>
      <w:numPr>
        <w:ilvl w:val="2"/>
        <w:numId w:val="1"/>
      </w:numPr>
      <w:spacing w:before="240" w:after="60"/>
      <w:jc w:val="left"/>
      <w:outlineLvl w:val="2"/>
    </w:pPr>
    <w:rPr>
      <w:rFonts w:ascii="Arial" w:hAnsi="Arial" w:eastAsia="华文宋体"/>
      <w:b/>
      <w:kern w:val="0"/>
      <w:sz w:val="26"/>
      <w:szCs w:val="20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qFormat/>
    <w:uiPriority w:val="0"/>
    <w:rPr>
      <w:rFonts w:ascii="宋体" w:hAnsi="Courier New" w:eastAsia="华文宋体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2017-11-08T13:43:00Z</dcterms:created>
  <dc:creator>admin</dc:creator>
  <cp:lastModifiedBy>admin</cp:lastModifiedBy>
  <dcterms:modified xsi:type="dcterms:W3CDTF">2017-11-09T05:46:09Z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